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F870EA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70DD5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70DD5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70DD5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70DD5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7418B2" w:rsidP="00163E8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173E38">
            <w:pPr>
              <w:pStyle w:val="ConsPlusNormal"/>
              <w:jc w:val="both"/>
            </w:pPr>
          </w:p>
          <w:p w:rsidR="00E62846" w:rsidRDefault="00E62846" w:rsidP="00173E38">
            <w:pPr>
              <w:jc w:val="both"/>
            </w:pPr>
          </w:p>
          <w:p w:rsidR="00E73603" w:rsidRPr="00E62846" w:rsidRDefault="00652187" w:rsidP="00173E38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173E38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447B56">
              <w:rPr>
                <w:sz w:val="20"/>
                <w:szCs w:val="20"/>
              </w:rPr>
              <w:t>Комплексные меры противодействия злоупотреблению наркотиками и их незаконному обороту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A" w:rsidRDefault="00F870EA" w:rsidP="00F870EA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10</w:t>
            </w:r>
            <w:r w:rsidRPr="005730F5">
              <w:rPr>
                <w:sz w:val="20"/>
                <w:szCs w:val="20"/>
              </w:rPr>
              <w:t>00Р6099</w:t>
            </w:r>
          </w:p>
          <w:p w:rsidR="00E73603" w:rsidRPr="005730F5" w:rsidRDefault="00E73603" w:rsidP="00447B56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173E38">
            <w:pPr>
              <w:pStyle w:val="ConsPlusNormal"/>
              <w:jc w:val="both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A" w:rsidRPr="00F870EA" w:rsidRDefault="00F870EA" w:rsidP="00447B56">
            <w:pPr>
              <w:pStyle w:val="ConsPlusNormal"/>
              <w:rPr>
                <w:sz w:val="16"/>
                <w:szCs w:val="16"/>
              </w:rPr>
            </w:pPr>
            <w:r w:rsidRPr="00F870EA">
              <w:rPr>
                <w:sz w:val="16"/>
                <w:szCs w:val="16"/>
              </w:rPr>
              <w:t>057080421000Р6099612</w:t>
            </w:r>
          </w:p>
        </w:tc>
      </w:tr>
      <w:tr w:rsidR="00E73603" w:rsidTr="00F870E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843"/>
      </w:tblGrid>
      <w:tr w:rsidR="00E73603" w:rsidRPr="00631B09" w:rsidTr="00F870EA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F870EA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FF151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FF151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843" w:type="dxa"/>
          </w:tcPr>
          <w:p w:rsidR="00E73603" w:rsidRPr="00631B09" w:rsidRDefault="00FF151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FF151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73603" w:rsidRPr="00631B09" w:rsidTr="00F870E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FF151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1015"/>
        <w:gridCol w:w="918"/>
        <w:gridCol w:w="918"/>
        <w:gridCol w:w="836"/>
        <w:gridCol w:w="444"/>
        <w:gridCol w:w="717"/>
        <w:gridCol w:w="773"/>
        <w:gridCol w:w="717"/>
        <w:gridCol w:w="773"/>
        <w:gridCol w:w="773"/>
        <w:gridCol w:w="805"/>
        <w:gridCol w:w="653"/>
        <w:gridCol w:w="1349"/>
        <w:gridCol w:w="951"/>
        <w:gridCol w:w="1096"/>
        <w:gridCol w:w="800"/>
        <w:gridCol w:w="800"/>
      </w:tblGrid>
      <w:tr w:rsidR="004C22C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FF151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  <w:vAlign w:val="center"/>
          </w:tcPr>
          <w:p w:rsidR="00DB663C" w:rsidRPr="007F09D2" w:rsidRDefault="00FF151A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FF151A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B663C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proofErr w:type="spellStart"/>
            <w:r>
              <w:rPr>
                <w:sz w:val="20"/>
                <w:szCs w:val="20"/>
              </w:rPr>
              <w:t>Алтайсельмаш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lastRenderedPageBreak/>
              <w:t>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</w:t>
            </w:r>
            <w:r w:rsidRPr="005730F5">
              <w:rPr>
                <w:sz w:val="20"/>
                <w:szCs w:val="20"/>
              </w:rPr>
              <w:lastRenderedPageBreak/>
              <w:t>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КТ-0000000002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</w:t>
            </w:r>
            <w:r>
              <w:rPr>
                <w:sz w:val="20"/>
                <w:szCs w:val="20"/>
              </w:rPr>
              <w:lastRenderedPageBreak/>
              <w:t>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КТ-0000000003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DB663C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/к «Торпедо»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150"/>
        </w:trPr>
        <w:tc>
          <w:tcPr>
            <w:tcW w:w="0" w:type="auto"/>
            <w:vMerge/>
          </w:tcPr>
          <w:p w:rsidR="009706B2" w:rsidRPr="007F09D2" w:rsidRDefault="009706B2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447B56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</w:t>
            </w:r>
            <w:r>
              <w:rPr>
                <w:sz w:val="20"/>
                <w:szCs w:val="20"/>
              </w:rPr>
              <w:lastRenderedPageBreak/>
              <w:t>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30" w:rsidRDefault="00CF3930">
      <w:r>
        <w:separator/>
      </w:r>
    </w:p>
  </w:endnote>
  <w:endnote w:type="continuationSeparator" w:id="0">
    <w:p w:rsidR="00CF3930" w:rsidRDefault="00CF3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3504A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30" w:rsidRDefault="00CF3930">
      <w:r>
        <w:separator/>
      </w:r>
    </w:p>
  </w:footnote>
  <w:footnote w:type="continuationSeparator" w:id="0">
    <w:p w:rsidR="00CF3930" w:rsidRDefault="00CF3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3504A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3504A">
    <w:pPr>
      <w:pStyle w:val="a5"/>
      <w:jc w:val="right"/>
    </w:pPr>
    <w:fldSimple w:instr=" PAGE   \* MERGEFORMAT ">
      <w:r w:rsidR="007418B2">
        <w:rPr>
          <w:noProof/>
        </w:rPr>
        <w:t>8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504A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3E8B"/>
    <w:rsid w:val="001673EE"/>
    <w:rsid w:val="00172452"/>
    <w:rsid w:val="00172582"/>
    <w:rsid w:val="00173E38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E70DE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187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269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8B2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056F0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3720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2F75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5E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3930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0EA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7CBE3-7D05-4C06-997E-C7696F14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48</TotalTime>
  <Pages>8</Pages>
  <Words>618</Words>
  <Characters>5882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6488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15</cp:revision>
  <cp:lastPrinted>2025-02-07T06:18:00Z</cp:lastPrinted>
  <dcterms:created xsi:type="dcterms:W3CDTF">2025-04-18T04:37:00Z</dcterms:created>
  <dcterms:modified xsi:type="dcterms:W3CDTF">2025-07-16T07:38:00Z</dcterms:modified>
</cp:coreProperties>
</file>